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Georgia" w:cs="Georgia" w:eastAsia="Georgia" w:hAnsi="Georgia"/>
        </w:rPr>
      </w:pPr>
      <w:bookmarkStart w:colFirst="0" w:colLast="0" w:name="_heading=h.nsjbmk9wfryv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Foster Program Grant Sources </w:t>
      </w:r>
    </w:p>
    <w:tbl>
      <w:tblPr>
        <w:tblStyle w:val="Table1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4"/>
        <w:gridCol w:w="4651"/>
        <w:gridCol w:w="4765"/>
        <w:tblGridChange w:id="0">
          <w:tblGrid>
            <w:gridCol w:w="3534"/>
            <w:gridCol w:w="4651"/>
            <w:gridCol w:w="476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Grant Source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Link 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ASPCA Anti-Cruelty Grants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These expenses include veterinary care, housing, transport, spay/neuter, and placement*. Requests for such funds are limited to organizations with law enforcement authority having jurisdiction over the case or whose involvement was requested by the same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https://www.aspcapro.org/grant/2017/07/20/aspca-anti-cruelty-grants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Bissell Pet Foundation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2022 Grant applications are good for Spay and Neuter Services for cats and dogs.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https://www.bissellpetfoundation.org/grant-guidelines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Doris Day Animal Foundation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Currently, many of their grants are focused on assisting senior companion animals, whether it be assisting with their food, care, veterinary costs, or need for adoption.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https://www.dorisdayanimalfoundation.org/grants/guidelines-and-faq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Healthy Paws Pet Insurance Medical Grants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Nominate your shelter by applying with the grant application application: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https://www.healthypawspetinsurance.com/how-we-help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grant application: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https://woobox.com/3vtugt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Maddie’s Fund Innovation Grants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Grants of up to $5,000 to implement new innovative programs or redesign existing programs in an innovative way.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https://www.maddiesfund.org/innovation.htm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Petfinder Foundation Emergency Medical Grant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Grants available for different types of situations from Emergency Medical to Disaster, etc.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https://petfinderfoundation.com/our-programs/grant-types/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Rachel Ray Save Them All Grants 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Grants to projects that will reduce shelter deaths. *Must be a part of Best Friends Network to apply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ff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https://network.bestfriends.org/opportunities/best-friends-partner-exclusives/rachael-ray-grants-2022</w:t>
              </w:r>
            </w:hyperlink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Second Chance Grants from the American Humane Association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Financial assistance to help offset the costs of rescuing animals who are homeless or the victims of human cruelty. To qualify, your rescue group must be a member of the American Humane Association.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http://www.americanhumane.org/initiative/second-chance-grants/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Walmart Community Grants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Each Walmart facility will award grants to </w:t>
            </w:r>
            <w:r w:rsidDel="00000000" w:rsidR="00000000" w:rsidRPr="00000000">
              <w:rPr>
                <w:rtl w:val="0"/>
              </w:rPr>
              <w:t xml:space="preserve">non-profits</w:t>
            </w:r>
            <w:r w:rsidDel="00000000" w:rsidR="00000000" w:rsidRPr="00000000">
              <w:rPr>
                <w:rtl w:val="0"/>
              </w:rPr>
              <w:t xml:space="preserve"> or municipal organizations in its service area. Grants are from $250-$5,000. 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https://walmart.org/how-we-give/local-community-grants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William and Charlotte Parks Foundation for Animal Welfare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Grants of up to $10,000 to support projects, research, and other activities to advance the welfare of animals. *Grants are not awarded for spay/neuter assistance or to improve animal health. Municipal agencies are not eligible.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https://www.parksfoundation.org/types-of-grants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Kind Donations </w:t>
            </w:r>
          </w:p>
        </w:tc>
      </w:tr>
      <w:tr>
        <w:trPr>
          <w:cantSplit w:val="0"/>
          <w:trHeight w:val="240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1-800-PetMeds-Cares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1-800-PetMeds Cares™ organizes product donations to shelters and rescues located within the contiguous U.S. and Washington D.C. area. Product donations </w:t>
            </w:r>
            <w:r w:rsidDel="00000000" w:rsidR="00000000" w:rsidRPr="00000000">
              <w:rPr>
                <w:rtl w:val="0"/>
              </w:rPr>
              <w:t xml:space="preserve">are comprised of returned</w:t>
            </w:r>
            <w:r w:rsidDel="00000000" w:rsidR="00000000" w:rsidRPr="00000000">
              <w:rPr>
                <w:rtl w:val="0"/>
              </w:rPr>
              <w:t xml:space="preserve"> items and manufacturer’s samples, meaning many items may be open or have damaged packaging.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https://www.petmeds.org/request-petmeds-donations/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Chewy.com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The Chewy.com Rescue and Shelter Network is open to all registered </w:t>
            </w:r>
            <w:r w:rsidDel="00000000" w:rsidR="00000000" w:rsidRPr="00000000">
              <w:rPr>
                <w:rtl w:val="0"/>
              </w:rPr>
              <w:t xml:space="preserve">non-profit</w:t>
            </w:r>
            <w:r w:rsidDel="00000000" w:rsidR="00000000" w:rsidRPr="00000000">
              <w:rPr>
                <w:rtl w:val="0"/>
              </w:rPr>
              <w:t xml:space="preserve"> organizations that specialize in assisting pets in need. By joining our free Rescue Network, your non-profit organization will have access to programs providing donations and fundraising opportunities. Email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rescue@chewy.com</w:t>
              </w:r>
            </w:hyperlink>
            <w:r w:rsidDel="00000000" w:rsidR="00000000" w:rsidRPr="00000000">
              <w:rPr>
                <w:rtl w:val="0"/>
              </w:rPr>
              <w:t xml:space="preserve"> to join the rescue program.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https://www.chewy.com/g/shelter-partners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Rescue Bank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Pet food donations to small shelters with limited resources. Search the map to find your most local GOODS Ambassador–then reach out to the ambassadors directly to become a recipient.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http://rescuebank.org/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Amazon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They do not solicit unrequested grant proposals, but if you would like to introduce your organization you can email </w:t>
            </w:r>
            <w:r w:rsidDel="00000000" w:rsidR="00000000" w:rsidRPr="00000000">
              <w:rPr>
                <w:rtl w:val="0"/>
              </w:rPr>
              <w:t xml:space="preserve">donationrequests@amazon.com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default"/>
      <w:footerReference r:id="rId27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tephanie Newman" w:id="0" w:date="2022-11-09T00:27:59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have access to this so I cannot check to see if the grants are available.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This document was updated on </w:t>
    </w:r>
    <w:r w:rsidDel="00000000" w:rsidR="00000000" w:rsidRPr="00000000">
      <w:rPr>
        <w:sz w:val="18"/>
        <w:szCs w:val="18"/>
        <w:rtl w:val="0"/>
      </w:rPr>
      <w:t xml:space="preserve">9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8"/>
        <w:szCs w:val="18"/>
        <w:rtl w:val="0"/>
      </w:rPr>
      <w:t xml:space="preserve">3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8"/>
        <w:szCs w:val="18"/>
        <w:rtl w:val="0"/>
      </w:rPr>
      <w:t xml:space="preserve">21</w:t>
    </w:r>
    <w:r w:rsidDel="00000000" w:rsidR="00000000" w:rsidRPr="00000000">
      <w:rPr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 CAT is not responsible for updating the link or any changes in materials.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</w:rPr>
      <w:drawing>
        <wp:inline distB="114300" distT="114300" distL="114300" distR="114300">
          <wp:extent cx="985838" cy="98583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114300" distT="114300" distL="114300" distR="114300">
          <wp:extent cx="5972175" cy="808541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2175" cy="8085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C47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C4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947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266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66BC"/>
  </w:style>
  <w:style w:type="paragraph" w:styleId="Footer">
    <w:name w:val="footer"/>
    <w:basedOn w:val="Normal"/>
    <w:link w:val="FooterChar"/>
    <w:uiPriority w:val="99"/>
    <w:unhideWhenUsed w:val="1"/>
    <w:rsid w:val="00C266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66B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etmeds.org/request-petmeds-donations/" TargetMode="External"/><Relationship Id="rId22" Type="http://schemas.openxmlformats.org/officeDocument/2006/relationships/hyperlink" Target="https://www.chewy.com/g/shelter-partners" TargetMode="External"/><Relationship Id="rId21" Type="http://schemas.openxmlformats.org/officeDocument/2006/relationships/hyperlink" Target="mailto:rescue@chewy.com" TargetMode="External"/><Relationship Id="rId24" Type="http://schemas.openxmlformats.org/officeDocument/2006/relationships/header" Target="header2.xml"/><Relationship Id="rId23" Type="http://schemas.openxmlformats.org/officeDocument/2006/relationships/hyperlink" Target="http://rescuebank.org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aspcapro.org/grant/2017/07/20/aspca-anti-cruelty-grants" TargetMode="External"/><Relationship Id="rId26" Type="http://schemas.openxmlformats.org/officeDocument/2006/relationships/footer" Target="footer2.xml"/><Relationship Id="rId25" Type="http://schemas.openxmlformats.org/officeDocument/2006/relationships/header" Target="header1.xml"/><Relationship Id="rId27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11" Type="http://schemas.openxmlformats.org/officeDocument/2006/relationships/hyperlink" Target="https://www.dorisdayanimalfoundation.org/grants/guidelines-and-faq" TargetMode="External"/><Relationship Id="rId10" Type="http://schemas.openxmlformats.org/officeDocument/2006/relationships/hyperlink" Target="https://www.bissellpetfoundation.org/grant-guidelines" TargetMode="External"/><Relationship Id="rId13" Type="http://schemas.openxmlformats.org/officeDocument/2006/relationships/hyperlink" Target="https://woobox.com/3vtugt" TargetMode="External"/><Relationship Id="rId12" Type="http://schemas.openxmlformats.org/officeDocument/2006/relationships/hyperlink" Target="https://www.healthypawspetinsurance.com/how-we-help" TargetMode="External"/><Relationship Id="rId15" Type="http://schemas.openxmlformats.org/officeDocument/2006/relationships/hyperlink" Target="https://petfinderfoundation.com/our-programs/grant-types/" TargetMode="External"/><Relationship Id="rId14" Type="http://schemas.openxmlformats.org/officeDocument/2006/relationships/hyperlink" Target="https://www.maddiesfund.org/innovation.htm" TargetMode="External"/><Relationship Id="rId17" Type="http://schemas.openxmlformats.org/officeDocument/2006/relationships/hyperlink" Target="http://www.americanhumane.org/initiative/second-chance-grants/" TargetMode="External"/><Relationship Id="rId16" Type="http://schemas.openxmlformats.org/officeDocument/2006/relationships/hyperlink" Target="https://network.bestfriends.org/opportunities/best-friends-partner-exclusives/rachael-ray-grants-2022" TargetMode="External"/><Relationship Id="rId19" Type="http://schemas.openxmlformats.org/officeDocument/2006/relationships/hyperlink" Target="https://www.parksfoundation.org/types-of-grants" TargetMode="External"/><Relationship Id="rId18" Type="http://schemas.openxmlformats.org/officeDocument/2006/relationships/hyperlink" Target="https://walmart.org/how-we-give/local-community-gra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AhY3hTN59Bb1gHS9/qLxAabVQ==">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2019-08-05T19:44:00Z</dcterms:created>
  <dc:creator>Kaisa Butcher</dc:creator>
</cp:coreProperties>
</file>